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7B" w:rsidRDefault="007D167B" w:rsidP="006D5010">
      <w:pPr>
        <w:spacing w:after="0" w:line="360" w:lineRule="auto"/>
        <w:jc w:val="center"/>
        <w:rPr>
          <w:rFonts w:ascii="Times New Roman" w:eastAsia="Times New Roman" w:hAnsi="Times New Roman" w:cs="Times New Roman"/>
          <w:b/>
          <w:sz w:val="24"/>
          <w:szCs w:val="24"/>
          <w:lang w:eastAsia="tr-TR"/>
        </w:rPr>
      </w:pPr>
      <w:r w:rsidRPr="006D5010">
        <w:rPr>
          <w:rFonts w:ascii="Times New Roman" w:eastAsia="Times New Roman" w:hAnsi="Times New Roman" w:cs="Times New Roman"/>
          <w:b/>
          <w:sz w:val="24"/>
          <w:szCs w:val="24"/>
          <w:lang w:eastAsia="tr-TR"/>
        </w:rPr>
        <w:t>TANITMA VE KULLANMA KILAVUZU YÖNETMELİĞİ</w:t>
      </w:r>
    </w:p>
    <w:p w:rsidR="006D5010" w:rsidRPr="006D5010" w:rsidRDefault="006D5010" w:rsidP="006D5010">
      <w:pPr>
        <w:spacing w:after="0" w:line="360" w:lineRule="auto"/>
        <w:jc w:val="center"/>
        <w:rPr>
          <w:rFonts w:ascii="Times New Roman" w:eastAsia="Times New Roman" w:hAnsi="Times New Roman" w:cs="Times New Roman"/>
          <w:b/>
          <w:sz w:val="24"/>
          <w:szCs w:val="24"/>
          <w:lang w:eastAsia="tr-TR"/>
        </w:rPr>
      </w:pPr>
    </w:p>
    <w:p w:rsidR="007D167B" w:rsidRPr="007D167B" w:rsidRDefault="007D167B" w:rsidP="007D167B">
      <w:pPr>
        <w:spacing w:after="0" w:line="360" w:lineRule="auto"/>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BİRİNCİ BÖLÜM</w:t>
      </w:r>
    </w:p>
    <w:p w:rsidR="007D167B" w:rsidRPr="007D167B" w:rsidRDefault="007D167B" w:rsidP="007D167B">
      <w:pPr>
        <w:spacing w:after="0" w:line="360" w:lineRule="auto"/>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Amaç, Kapsam, Dayanak ve Tanımlar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Amaç</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1 –</w:t>
      </w:r>
      <w:r w:rsidRPr="007D167B">
        <w:rPr>
          <w:rFonts w:ascii="Times New Roman" w:eastAsia="Times New Roman" w:hAnsi="Times New Roman" w:cs="Times New Roman"/>
          <w:sz w:val="24"/>
          <w:szCs w:val="24"/>
          <w:lang w:eastAsia="tr-TR"/>
        </w:rPr>
        <w:t> (1) Bu Yönetmeliğin amacı; tüketicinin kullanımına sunulan malların tanıtım, kullanım, kurulum, bakım ve basit onarımına yönelik hazırlanan tanıtma ve kullanma kılavuzuna ilişkin usul ve esasları düzenlemektir.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Kapsam</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2 –</w:t>
      </w:r>
      <w:r w:rsidRPr="007D167B">
        <w:rPr>
          <w:rFonts w:ascii="Times New Roman" w:eastAsia="Times New Roman" w:hAnsi="Times New Roman" w:cs="Times New Roman"/>
          <w:sz w:val="24"/>
          <w:szCs w:val="24"/>
          <w:lang w:eastAsia="tr-TR"/>
        </w:rPr>
        <w:t> (1) Bu Yönetmelik, 6 </w:t>
      </w:r>
      <w:proofErr w:type="spellStart"/>
      <w:r w:rsidRPr="007D167B">
        <w:rPr>
          <w:rFonts w:ascii="Times New Roman" w:eastAsia="Times New Roman" w:hAnsi="Times New Roman" w:cs="Times New Roman"/>
          <w:sz w:val="24"/>
          <w:szCs w:val="24"/>
          <w:lang w:eastAsia="tr-TR"/>
        </w:rPr>
        <w:t>ncı</w:t>
      </w:r>
      <w:proofErr w:type="spellEnd"/>
      <w:r w:rsidRPr="007D167B">
        <w:rPr>
          <w:rFonts w:ascii="Times New Roman" w:eastAsia="Times New Roman" w:hAnsi="Times New Roman" w:cs="Times New Roman"/>
          <w:sz w:val="24"/>
          <w:szCs w:val="24"/>
          <w:lang w:eastAsia="tr-TR"/>
        </w:rPr>
        <w:t> maddede belirtilen mallar hariç olmak üzere tüketicinin kullanımına sunulan tüm malları kapsar.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Dayanak</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3 –</w:t>
      </w:r>
      <w:r w:rsidRPr="007D167B">
        <w:rPr>
          <w:rFonts w:ascii="Times New Roman" w:eastAsia="Times New Roman" w:hAnsi="Times New Roman" w:cs="Times New Roman"/>
          <w:sz w:val="24"/>
          <w:szCs w:val="24"/>
          <w:lang w:eastAsia="tr-TR"/>
        </w:rPr>
        <w:t> (1) Bu Yönetmelik, </w:t>
      </w:r>
      <w:proofErr w:type="gramStart"/>
      <w:r w:rsidRPr="007D167B">
        <w:rPr>
          <w:rFonts w:ascii="Times New Roman" w:eastAsia="Times New Roman" w:hAnsi="Times New Roman" w:cs="Times New Roman"/>
          <w:sz w:val="24"/>
          <w:szCs w:val="24"/>
          <w:lang w:eastAsia="tr-TR"/>
        </w:rPr>
        <w:t>7/11/2013</w:t>
      </w:r>
      <w:proofErr w:type="gramEnd"/>
      <w:r w:rsidRPr="007D167B">
        <w:rPr>
          <w:rFonts w:ascii="Times New Roman" w:eastAsia="Times New Roman" w:hAnsi="Times New Roman" w:cs="Times New Roman"/>
          <w:sz w:val="24"/>
          <w:szCs w:val="24"/>
          <w:lang w:eastAsia="tr-TR"/>
        </w:rPr>
        <w:t> tarihli ve 6502 sayılı Tüketicinin Korunması Hakkında Kanunun 55 inci ve 84 üncü maddelerine dayanılarak hazırlanmıştır.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Tanımlar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4 –</w:t>
      </w:r>
      <w:r w:rsidRPr="007D167B">
        <w:rPr>
          <w:rFonts w:ascii="Times New Roman" w:eastAsia="Times New Roman" w:hAnsi="Times New Roman" w:cs="Times New Roman"/>
          <w:sz w:val="24"/>
          <w:szCs w:val="24"/>
          <w:lang w:eastAsia="tr-TR"/>
        </w:rPr>
        <w:t> (1) Bu Yönetmelikte geçen;</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a) Bakanlık: Gümrük ve Ticaret Bakanlığını,</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b) İthalatçı: Kamu tüzel kişileri de dâhil olmak üzere mal veya hizmetleri ya da bu malların hammaddelerini yahut ara mallarını ticari veya mesleki amaçlarla ithal ederek satım, kira, finansal kiralama veya benzeri bir yolla piyasaya süren gerçek veya tüzel kişiyi,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c) Kalıcı veri saklayıcısı: Tüketicinin kendisine gönderilen bilgiyi, bu bilginin amacına uygun olarak makul bir süre incelemesine elverecek şekilde kaydedilmesini ve değiştirilmeden kopyalanmasını sağlayan ve bu bilgiye aynen ulaşılmasına imkân veren kısa mesaj, elektronik posta, internet, disk, cd, </w:t>
      </w:r>
      <w:proofErr w:type="spellStart"/>
      <w:r w:rsidRPr="007D167B">
        <w:rPr>
          <w:rFonts w:ascii="Times New Roman" w:eastAsia="Times New Roman" w:hAnsi="Times New Roman" w:cs="Times New Roman"/>
          <w:sz w:val="24"/>
          <w:szCs w:val="24"/>
          <w:lang w:eastAsia="tr-TR"/>
        </w:rPr>
        <w:t>dvd</w:t>
      </w:r>
      <w:proofErr w:type="spellEnd"/>
      <w:r w:rsidRPr="007D167B">
        <w:rPr>
          <w:rFonts w:ascii="Times New Roman" w:eastAsia="Times New Roman" w:hAnsi="Times New Roman" w:cs="Times New Roman"/>
          <w:sz w:val="24"/>
          <w:szCs w:val="24"/>
          <w:lang w:eastAsia="tr-TR"/>
        </w:rPr>
        <w:t>, hafıza kartı ve benzeri her türlü araç veya ortamı,</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ç) Kanun: Tüketicinin Korunması Hakkında Kanunu,</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d) Kullanıcı </w:t>
      </w:r>
      <w:proofErr w:type="spellStart"/>
      <w:r w:rsidRPr="007D167B">
        <w:rPr>
          <w:rFonts w:ascii="Times New Roman" w:eastAsia="Times New Roman" w:hAnsi="Times New Roman" w:cs="Times New Roman"/>
          <w:sz w:val="24"/>
          <w:szCs w:val="24"/>
          <w:lang w:eastAsia="tr-TR"/>
        </w:rPr>
        <w:t>arayüzü</w:t>
      </w:r>
      <w:proofErr w:type="spellEnd"/>
      <w:r w:rsidRPr="007D167B">
        <w:rPr>
          <w:rFonts w:ascii="Times New Roman" w:eastAsia="Times New Roman" w:hAnsi="Times New Roman" w:cs="Times New Roman"/>
          <w:sz w:val="24"/>
          <w:szCs w:val="24"/>
          <w:lang w:eastAsia="tr-TR"/>
        </w:rPr>
        <w:t>: Bir mal ile o malı kullanan tüketici arasındaki etkileşime aracılık eden her türlü dijital ortamı,</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e) Mal: Alışverişe konu olan taşınır eşyalardan, Bakanlıkça tespit ve ilan edilen Türkçe tanıtma ve kullanma kılavuzu ile satılmak zorunda olan malı,</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f) Satıcı: Kamu tüzel kişileri de </w:t>
      </w:r>
      <w:proofErr w:type="gramStart"/>
      <w:r w:rsidRPr="007D167B">
        <w:rPr>
          <w:rFonts w:ascii="Times New Roman" w:eastAsia="Times New Roman" w:hAnsi="Times New Roman" w:cs="Times New Roman"/>
          <w:sz w:val="24"/>
          <w:szCs w:val="24"/>
          <w:lang w:eastAsia="tr-TR"/>
        </w:rPr>
        <w:t>dahil</w:t>
      </w:r>
      <w:proofErr w:type="gramEnd"/>
      <w:r w:rsidRPr="007D167B">
        <w:rPr>
          <w:rFonts w:ascii="Times New Roman" w:eastAsia="Times New Roman" w:hAnsi="Times New Roman" w:cs="Times New Roman"/>
          <w:sz w:val="24"/>
          <w:szCs w:val="24"/>
          <w:lang w:eastAsia="tr-TR"/>
        </w:rPr>
        <w:t> olmak üzere ticari veya mesleki amaçlarla tüketiciye mal sunan ya da mal sunanın adına ya da hesabına hareket eden gerçek veya tüzel kişiyi,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lastRenderedPageBreak/>
        <w:t>g) Tanıtma ve kullanma kılavuzu: Tüketicinin kullanımına sunulan malların tanıtım, kullanım, kurulum, bakım ve basit onarımına ilişkin kılavuzu ve gerektiğinde uluslararası sembol ve işaretleri kapsayan etiketi,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ğ) Tüketici: Ticari veya mesleki olmayan amaçlarla hareket eden gerçek veya tüzel kişiyi,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h) Üretici: Kamu tüzel kişileri de dâhil olmak üzere tüketiciye sunulmuş olan mal ya da bu malların hammaddelerini yahut ara mallarını üretenler ile mal üzerine markasını, unvanını veya herhangi bir ayırt edici işaretini koyarak kendisini üretici olarak gösteren gerçek veya tüzel kişiyi,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proofErr w:type="gramStart"/>
      <w:r w:rsidRPr="007D167B">
        <w:rPr>
          <w:rFonts w:ascii="Times New Roman" w:eastAsia="Times New Roman" w:hAnsi="Times New Roman" w:cs="Times New Roman"/>
          <w:sz w:val="24"/>
          <w:szCs w:val="24"/>
          <w:lang w:eastAsia="tr-TR"/>
        </w:rPr>
        <w:t>ifade</w:t>
      </w:r>
      <w:proofErr w:type="gramEnd"/>
      <w:r w:rsidRPr="007D167B">
        <w:rPr>
          <w:rFonts w:ascii="Times New Roman" w:eastAsia="Times New Roman" w:hAnsi="Times New Roman" w:cs="Times New Roman"/>
          <w:sz w:val="24"/>
          <w:szCs w:val="24"/>
          <w:lang w:eastAsia="tr-TR"/>
        </w:rPr>
        <w:t> eder.</w:t>
      </w:r>
    </w:p>
    <w:p w:rsidR="006D5010" w:rsidRDefault="006D5010" w:rsidP="007D167B">
      <w:pPr>
        <w:spacing w:after="0" w:line="360" w:lineRule="auto"/>
        <w:jc w:val="both"/>
        <w:rPr>
          <w:rFonts w:ascii="Times New Roman" w:eastAsia="Times New Roman" w:hAnsi="Times New Roman" w:cs="Times New Roman"/>
          <w:b/>
          <w:bCs/>
          <w:sz w:val="24"/>
          <w:szCs w:val="24"/>
          <w:lang w:eastAsia="tr-TR"/>
        </w:rPr>
      </w:pPr>
    </w:p>
    <w:p w:rsidR="007D167B" w:rsidRPr="007D167B" w:rsidRDefault="007D167B" w:rsidP="007D167B">
      <w:pPr>
        <w:spacing w:after="0" w:line="360" w:lineRule="auto"/>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İKİNCİ BÖLÜM</w:t>
      </w:r>
    </w:p>
    <w:p w:rsidR="007D167B" w:rsidRPr="007D167B" w:rsidRDefault="007D167B" w:rsidP="007D167B">
      <w:pPr>
        <w:spacing w:after="0" w:line="360" w:lineRule="auto"/>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Tanıtma ve Kullanma Kılavuzu Düzenleme ve Uygulama Esasları</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Tanıtma ve kullanma kılavuzu düzenleme zorunluluğu</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5 –</w:t>
      </w:r>
      <w:r w:rsidRPr="007D167B">
        <w:rPr>
          <w:rFonts w:ascii="Times New Roman" w:eastAsia="Times New Roman" w:hAnsi="Times New Roman" w:cs="Times New Roman"/>
          <w:sz w:val="24"/>
          <w:szCs w:val="24"/>
          <w:lang w:eastAsia="tr-TR"/>
        </w:rPr>
        <w:t xml:space="preserve"> (1) Tüketicinin kullanımına sunulan malların Türkçe tanıtma ve kullanma kılavuzuyla </w:t>
      </w:r>
      <w:proofErr w:type="spellStart"/>
      <w:r w:rsidRPr="007D167B">
        <w:rPr>
          <w:rFonts w:ascii="Times New Roman" w:eastAsia="Times New Roman" w:hAnsi="Times New Roman" w:cs="Times New Roman"/>
          <w:sz w:val="24"/>
          <w:szCs w:val="24"/>
          <w:lang w:eastAsia="tr-TR"/>
        </w:rPr>
        <w:t>satılmasızorunludur</w:t>
      </w:r>
      <w:proofErr w:type="spellEnd"/>
      <w:r w:rsidRPr="007D167B">
        <w:rPr>
          <w:rFonts w:ascii="Times New Roman" w:eastAsia="Times New Roman" w:hAnsi="Times New Roman" w:cs="Times New Roman"/>
          <w:sz w:val="24"/>
          <w:szCs w:val="24"/>
          <w:lang w:eastAsia="tr-TR"/>
        </w:rPr>
        <w:t>.</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(2) Tanıtma ve kullanma kılavuzu açık, sade, anlaşılabilir bir dilde ve okunabilir şekilde düzenlenir ve </w:t>
      </w:r>
      <w:proofErr w:type="spellStart"/>
      <w:r w:rsidRPr="007D167B">
        <w:rPr>
          <w:rFonts w:ascii="Times New Roman" w:eastAsia="Times New Roman" w:hAnsi="Times New Roman" w:cs="Times New Roman"/>
          <w:sz w:val="24"/>
          <w:szCs w:val="24"/>
          <w:lang w:eastAsia="tr-TR"/>
        </w:rPr>
        <w:t>kağıtüzerinde</w:t>
      </w:r>
      <w:proofErr w:type="spellEnd"/>
      <w:r w:rsidRPr="007D167B">
        <w:rPr>
          <w:rFonts w:ascii="Times New Roman" w:eastAsia="Times New Roman" w:hAnsi="Times New Roman" w:cs="Times New Roman"/>
          <w:sz w:val="24"/>
          <w:szCs w:val="24"/>
          <w:lang w:eastAsia="tr-TR"/>
        </w:rPr>
        <w:t xml:space="preserve"> yazılı olarak veya kalıcı veri saklayıcısı ile tüketiciye verilir.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 xml:space="preserve">(3) Tanıtma ve kullanma kılavuzunun kalıcı veri saklayıcısı ile tüketiciye sunulması halinde bu bilgiler </w:t>
      </w:r>
      <w:proofErr w:type="spellStart"/>
      <w:r w:rsidRPr="007D167B">
        <w:rPr>
          <w:rFonts w:ascii="Times New Roman" w:eastAsia="Times New Roman" w:hAnsi="Times New Roman" w:cs="Times New Roman"/>
          <w:sz w:val="24"/>
          <w:szCs w:val="24"/>
          <w:lang w:eastAsia="tr-TR"/>
        </w:rPr>
        <w:t>ayrıcaüretici</w:t>
      </w:r>
      <w:proofErr w:type="spellEnd"/>
      <w:r w:rsidRPr="007D167B">
        <w:rPr>
          <w:rFonts w:ascii="Times New Roman" w:eastAsia="Times New Roman" w:hAnsi="Times New Roman" w:cs="Times New Roman"/>
          <w:sz w:val="24"/>
          <w:szCs w:val="24"/>
          <w:lang w:eastAsia="tr-TR"/>
        </w:rPr>
        <w:t xml:space="preserve"> veya ithalatçının internet sitesinde de yer alır. Üretici veya ithalatçının internet sitesinin </w:t>
      </w:r>
      <w:proofErr w:type="spellStart"/>
      <w:r w:rsidRPr="007D167B">
        <w:rPr>
          <w:rFonts w:ascii="Times New Roman" w:eastAsia="Times New Roman" w:hAnsi="Times New Roman" w:cs="Times New Roman"/>
          <w:sz w:val="24"/>
          <w:szCs w:val="24"/>
          <w:lang w:eastAsia="tr-TR"/>
        </w:rPr>
        <w:t>bulunmamasıdurumunda</w:t>
      </w:r>
      <w:proofErr w:type="spellEnd"/>
      <w:r w:rsidRPr="007D167B">
        <w:rPr>
          <w:rFonts w:ascii="Times New Roman" w:eastAsia="Times New Roman" w:hAnsi="Times New Roman" w:cs="Times New Roman"/>
          <w:sz w:val="24"/>
          <w:szCs w:val="24"/>
          <w:lang w:eastAsia="tr-TR"/>
        </w:rPr>
        <w:t xml:space="preserve"> ya da tüketicinin talep etmesi halinde tanıtma ve kullanma kılavuzu, herhangi bir ücret talep edilmeksizin ayrıca </w:t>
      </w:r>
      <w:proofErr w:type="gramStart"/>
      <w:r w:rsidRPr="007D167B">
        <w:rPr>
          <w:rFonts w:ascii="Times New Roman" w:eastAsia="Times New Roman" w:hAnsi="Times New Roman" w:cs="Times New Roman"/>
          <w:sz w:val="24"/>
          <w:szCs w:val="24"/>
          <w:lang w:eastAsia="tr-TR"/>
        </w:rPr>
        <w:t>kağıt</w:t>
      </w:r>
      <w:proofErr w:type="gramEnd"/>
      <w:r w:rsidRPr="007D167B">
        <w:rPr>
          <w:rFonts w:ascii="Times New Roman" w:eastAsia="Times New Roman" w:hAnsi="Times New Roman" w:cs="Times New Roman"/>
          <w:sz w:val="24"/>
          <w:szCs w:val="24"/>
          <w:lang w:eastAsia="tr-TR"/>
        </w:rPr>
        <w:t> üzerinde tüketiciye verilir.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 xml:space="preserve">(4) Tanıtma ve kullanma kılavuzu, malın özelliğine ve tüketiciye sunuluş biçimine göre malın veya </w:t>
      </w:r>
      <w:proofErr w:type="spellStart"/>
      <w:r w:rsidRPr="007D167B">
        <w:rPr>
          <w:rFonts w:ascii="Times New Roman" w:eastAsia="Times New Roman" w:hAnsi="Times New Roman" w:cs="Times New Roman"/>
          <w:sz w:val="24"/>
          <w:szCs w:val="24"/>
          <w:lang w:eastAsia="tr-TR"/>
        </w:rPr>
        <w:t>ambalajınınüzerine</w:t>
      </w:r>
      <w:proofErr w:type="spellEnd"/>
      <w:r w:rsidRPr="007D167B">
        <w:rPr>
          <w:rFonts w:ascii="Times New Roman" w:eastAsia="Times New Roman" w:hAnsi="Times New Roman" w:cs="Times New Roman"/>
          <w:sz w:val="24"/>
          <w:szCs w:val="24"/>
          <w:lang w:eastAsia="tr-TR"/>
        </w:rPr>
        <w:t xml:space="preserve"> yazılabilir veya eklenebilir.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(5) Malın kullanıcı </w:t>
      </w:r>
      <w:proofErr w:type="spellStart"/>
      <w:r w:rsidRPr="007D167B">
        <w:rPr>
          <w:rFonts w:ascii="Times New Roman" w:eastAsia="Times New Roman" w:hAnsi="Times New Roman" w:cs="Times New Roman"/>
          <w:sz w:val="24"/>
          <w:szCs w:val="24"/>
          <w:lang w:eastAsia="tr-TR"/>
        </w:rPr>
        <w:t>arayüzünde</w:t>
      </w:r>
      <w:proofErr w:type="spellEnd"/>
      <w:r w:rsidRPr="007D167B">
        <w:rPr>
          <w:rFonts w:ascii="Times New Roman" w:eastAsia="Times New Roman" w:hAnsi="Times New Roman" w:cs="Times New Roman"/>
          <w:sz w:val="24"/>
          <w:szCs w:val="24"/>
          <w:lang w:eastAsia="tr-TR"/>
        </w:rPr>
        <w:t> yer alan yazılı, sesli ve görüntülü ifadelerin Türkçe olması zorunludur.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Tanıtma ve kullanma kılavuzu düzenleme zorunluluğu olmayan mallar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6 –</w:t>
      </w:r>
      <w:r w:rsidRPr="007D167B">
        <w:rPr>
          <w:rFonts w:ascii="Times New Roman" w:eastAsia="Times New Roman" w:hAnsi="Times New Roman" w:cs="Times New Roman"/>
          <w:sz w:val="24"/>
          <w:szCs w:val="24"/>
          <w:lang w:eastAsia="tr-TR"/>
        </w:rPr>
        <w:t> (1) Aşağıda belirtilen mallar için tanıtma ve kullanma kılavuzu düzenlenmesi zorunlu değildir: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a) Her çeşit metal, PVC, polietilen ve benzeri plastik boru ve bağlantı parçaları ile cıvata, kelepçe, vida, saplama, somun, çivi, pim ve benzeri bağlama elemanları,</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b) </w:t>
      </w:r>
      <w:proofErr w:type="gramStart"/>
      <w:r w:rsidRPr="007D167B">
        <w:rPr>
          <w:rFonts w:ascii="Times New Roman" w:eastAsia="Times New Roman" w:hAnsi="Times New Roman" w:cs="Times New Roman"/>
          <w:sz w:val="24"/>
          <w:szCs w:val="24"/>
          <w:lang w:eastAsia="tr-TR"/>
        </w:rPr>
        <w:t>Kağıt</w:t>
      </w:r>
      <w:proofErr w:type="gramEnd"/>
      <w:r w:rsidRPr="007D167B">
        <w:rPr>
          <w:rFonts w:ascii="Times New Roman" w:eastAsia="Times New Roman" w:hAnsi="Times New Roman" w:cs="Times New Roman"/>
          <w:sz w:val="24"/>
          <w:szCs w:val="24"/>
          <w:lang w:eastAsia="tr-TR"/>
        </w:rPr>
        <w:t>, kalem, silgi ve benzeri kırtasiye malzemeleri,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c) Kürek, bel, kazma, tırmık, el arabası ve benzeri tarım aletleri,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lastRenderedPageBreak/>
        <w:t>ç) Pense, tornavida, çekiç, keski, testere, makas ve benzeri mekanik el aletleri,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d) Mendil, kemer, pantolon askısı, düğme, fermuar ve benzeri giyim aksesuarları,</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e) Tuğla, kiremit, briket gibi inşaat malzemeleri ile dökme olarak satılan çimento, kireç, kum, çakıl, kömür ve benzeri mineral ve ürünler,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f) Çatal, kaşık, kepçe, bıçak, tabak, bardak ve benzeri mutfak eşyaları ile makas, vazo ve saksı gibi ev eşyaları,</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g) El sanatları, kuyumculuk ve benzeri diğer sanatsal ürünler,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ğ) Şerit metre, kumpas, gönye ve benzeri mekanik ölçü aletleri,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h) Servis istasyonlarınca değiştirilen yedek parçalar,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ı) Malın özelliğine ve tüketiciye sunuluş şekline göre ambalaj içerisinde satılan ve ambalajında özellikleri ve kullanım şekli belirtilen;</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 xml:space="preserve">1) Makine yağı, antifriz, hidrolik yağı, kibrit, gübre, tiner, vernik, boya incelticileri, kozmetik ve diğer </w:t>
      </w:r>
      <w:proofErr w:type="spellStart"/>
      <w:r w:rsidRPr="007D167B">
        <w:rPr>
          <w:rFonts w:ascii="Times New Roman" w:eastAsia="Times New Roman" w:hAnsi="Times New Roman" w:cs="Times New Roman"/>
          <w:sz w:val="24"/>
          <w:szCs w:val="24"/>
          <w:lang w:eastAsia="tr-TR"/>
        </w:rPr>
        <w:t>kimyeviürünler</w:t>
      </w:r>
      <w:proofErr w:type="spellEnd"/>
      <w:r w:rsidRPr="007D167B">
        <w:rPr>
          <w:rFonts w:ascii="Times New Roman" w:eastAsia="Times New Roman" w:hAnsi="Times New Roman" w:cs="Times New Roman"/>
          <w:sz w:val="24"/>
          <w:szCs w:val="24"/>
          <w:lang w:eastAsia="tr-TR"/>
        </w:rPr>
        <w:t>,</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2) Boya, çimento, kireç ve benzeri ürünler,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3) Yiyecek ve içecek gıda maddeleri,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4) Temizlik maddeleri,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5) Kömür ve benzeri yakacak maddeleri.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Tanıtma ve kullanma kılavuzunda bulunması gereken bilgiler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7 –</w:t>
      </w:r>
      <w:r w:rsidRPr="007D167B">
        <w:rPr>
          <w:rFonts w:ascii="Times New Roman" w:eastAsia="Times New Roman" w:hAnsi="Times New Roman" w:cs="Times New Roman"/>
          <w:sz w:val="24"/>
          <w:szCs w:val="24"/>
          <w:lang w:eastAsia="tr-TR"/>
        </w:rPr>
        <w:t> (1) Tanıtma ve kullanma kılavuzunda, malın özelliğine ve tüketiciye sunuluş biçimine göre aşağıda belirtilen bilgilerin bulunması zorunludur: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a) Üretici veya ithalatçı firmanın unvan, adres, telefon numarası ve diğer iletişim bilgileri,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b) Kullanım, kurulum, bakım ve basit onarımda uyulması gereken kurallar,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c) Taşıma ve nakliye sırasında dikkat edilecek hususlar,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ç) Kullanım hatalarına ilişkin bilgiler,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d) Özellikleri ile ilgili tanıtıcı ve temel bilgiler,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e) Tüketicinin yapabileceği bakım, onarım veya ürünün temizliğine ilişkin bilgiler,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f) Periyodik bakım gerekmesi durumunda, periyodik bakımın, yapılacağı zaman aralıkları ile kim tarafından yapılması gerektiğine ilişkin bilgiler,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g) Bağlantı veya montajın nasıl yapılacağını gösterir şema ile bağlantı veya montajın kim tarafından yapılacağına ilişkin bilgiler,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ğ) </w:t>
      </w:r>
      <w:proofErr w:type="gramStart"/>
      <w:r w:rsidRPr="007D167B">
        <w:rPr>
          <w:rFonts w:ascii="Times New Roman" w:eastAsia="Times New Roman" w:hAnsi="Times New Roman" w:cs="Times New Roman"/>
          <w:sz w:val="24"/>
          <w:szCs w:val="24"/>
          <w:lang w:eastAsia="tr-TR"/>
        </w:rPr>
        <w:t>13/6/2014</w:t>
      </w:r>
      <w:proofErr w:type="gramEnd"/>
      <w:r w:rsidRPr="007D167B">
        <w:rPr>
          <w:rFonts w:ascii="Times New Roman" w:eastAsia="Times New Roman" w:hAnsi="Times New Roman" w:cs="Times New Roman"/>
          <w:sz w:val="24"/>
          <w:szCs w:val="24"/>
          <w:lang w:eastAsia="tr-TR"/>
        </w:rPr>
        <w:t> tarihli ve 29029 sayılı Resmî </w:t>
      </w:r>
      <w:proofErr w:type="spellStart"/>
      <w:r w:rsidRPr="007D167B">
        <w:rPr>
          <w:rFonts w:ascii="Times New Roman" w:eastAsia="Times New Roman" w:hAnsi="Times New Roman" w:cs="Times New Roman"/>
          <w:sz w:val="24"/>
          <w:szCs w:val="24"/>
          <w:lang w:eastAsia="tr-TR"/>
        </w:rPr>
        <w:t>Gazete’de</w:t>
      </w:r>
      <w:proofErr w:type="spellEnd"/>
      <w:r w:rsidRPr="007D167B">
        <w:rPr>
          <w:rFonts w:ascii="Times New Roman" w:eastAsia="Times New Roman" w:hAnsi="Times New Roman" w:cs="Times New Roman"/>
          <w:sz w:val="24"/>
          <w:szCs w:val="24"/>
          <w:lang w:eastAsia="tr-TR"/>
        </w:rPr>
        <w:t xml:space="preserve"> yayımlanan Satış Sonrası Hizmetler Yönetmeliği eki listede tespit ve ilan edilen kullanım ömrü,</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lastRenderedPageBreak/>
        <w:t>h) Yetkili servis istasyonları ile yedek parça malzemelerinin temin edilebileceği yerlerin unvan, adres, telefon numarası ve diğer iletişim bilgileri,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ı) İthal edilmiş mallarda, yurt dışındaki üretici firmanın unvan, adres, telefon numarası ve diğer iletişim bilgileri,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i) Kanunun 11 inci maddesinde tüketiciye sağlanan seçimlik haklara ilişkin bilgi,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j) Tüketicilerin </w:t>
      </w:r>
      <w:proofErr w:type="gramStart"/>
      <w:r w:rsidRPr="007D167B">
        <w:rPr>
          <w:rFonts w:ascii="Times New Roman" w:eastAsia="Times New Roman" w:hAnsi="Times New Roman" w:cs="Times New Roman"/>
          <w:sz w:val="24"/>
          <w:szCs w:val="24"/>
          <w:lang w:eastAsia="tr-TR"/>
        </w:rPr>
        <w:t>şikayet</w:t>
      </w:r>
      <w:proofErr w:type="gramEnd"/>
      <w:r w:rsidRPr="007D167B">
        <w:rPr>
          <w:rFonts w:ascii="Times New Roman" w:eastAsia="Times New Roman" w:hAnsi="Times New Roman" w:cs="Times New Roman"/>
          <w:sz w:val="24"/>
          <w:szCs w:val="24"/>
          <w:lang w:eastAsia="tr-TR"/>
        </w:rPr>
        <w:t> ve itirazları konusundaki başvurularını tüketici mahkemelerine ve tüketici hakem heyetlerine yapabileceklerine ilişkin bilgi,</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k) Varsa tüketiciye sağlanan diğer haklar.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(2) Enerji tüketen mallarda, bu maddenin birinci fıkrasında belirtilen bilgilere ek olarak, malın enerji tüketimi açısından verimli kullanımına ilişkin bilgilerin yer alması zorunludur.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(3) Malın teknik özelliği veya tüketicinin kullanımında karşılaşacağı kolaylıklar da dikkate alınarak, yukarıda belirtilen bilgilerin işaret veya şekil çizmek suretiyle açık olarak anlatılabilmesi halinde, ayrıca yazılı bir metin aranmaz.</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(4) Malın güvenli kullanımına ilişkin hususların malın üzerinde yer alması halinde yazılı ve sesli ifadelerin Türkçe olması zorunludur.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(5) Malların ilgili teknik düzenlemesi uyarınca kişinin sağlığı ile çevreye zararlı veya tehlikeli olabilmesi durumunda, bu malın güvenli kullanılabilmesi için malın üzerine veya tanıtma ve kullanma kılavuzuna bu durumla ilgili açıklayıcı bilgi ve uyarılar açıkça görülecek ve okunacak şekilde konulur veya yazılır.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Üretici, ithalatçı ve satıcının sorumluluğu</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8 –</w:t>
      </w:r>
      <w:r w:rsidRPr="007D167B">
        <w:rPr>
          <w:rFonts w:ascii="Times New Roman" w:eastAsia="Times New Roman" w:hAnsi="Times New Roman" w:cs="Times New Roman"/>
          <w:sz w:val="24"/>
          <w:szCs w:val="24"/>
          <w:lang w:eastAsia="tr-TR"/>
        </w:rPr>
        <w:t> (1) Türkçe tanıtma ve kullanma kılavuzlarının hazırlanması sorumluluğu üretici ve ithalatçıya, tüketiciye verilmesi ve teslim edildiğinin ispat sorumluluğu ise satıcıya aittir.</w:t>
      </w:r>
    </w:p>
    <w:p w:rsidR="006D5010" w:rsidRDefault="006D5010" w:rsidP="007D167B">
      <w:pPr>
        <w:spacing w:after="0" w:line="360" w:lineRule="auto"/>
        <w:jc w:val="both"/>
        <w:rPr>
          <w:rFonts w:ascii="Times New Roman" w:eastAsia="Times New Roman" w:hAnsi="Times New Roman" w:cs="Times New Roman"/>
          <w:sz w:val="24"/>
          <w:szCs w:val="24"/>
          <w:lang w:eastAsia="tr-TR"/>
        </w:rPr>
      </w:pPr>
    </w:p>
    <w:p w:rsidR="007D167B" w:rsidRPr="007D167B" w:rsidRDefault="007D167B" w:rsidP="007D167B">
      <w:pPr>
        <w:spacing w:after="0" w:line="360" w:lineRule="auto"/>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ÜÇÜNCÜ BÖLÜM</w:t>
      </w:r>
    </w:p>
    <w:p w:rsidR="007D167B" w:rsidRPr="007D167B" w:rsidRDefault="007D167B" w:rsidP="007D167B">
      <w:pPr>
        <w:spacing w:after="0" w:line="360" w:lineRule="auto"/>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sz w:val="24"/>
          <w:szCs w:val="24"/>
          <w:lang w:eastAsia="tr-TR"/>
        </w:rPr>
        <w:t>Çeşitli ve Son Hükümler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Yürürlükten kaldırılan yönetmelik</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9 –</w:t>
      </w:r>
      <w:r w:rsidRPr="007D167B">
        <w:rPr>
          <w:rFonts w:ascii="Times New Roman" w:eastAsia="Times New Roman" w:hAnsi="Times New Roman" w:cs="Times New Roman"/>
          <w:sz w:val="24"/>
          <w:szCs w:val="24"/>
          <w:lang w:eastAsia="tr-TR"/>
        </w:rPr>
        <w:t> (1) </w:t>
      </w:r>
      <w:proofErr w:type="gramStart"/>
      <w:r w:rsidRPr="007D167B">
        <w:rPr>
          <w:rFonts w:ascii="Times New Roman" w:eastAsia="Times New Roman" w:hAnsi="Times New Roman" w:cs="Times New Roman"/>
          <w:sz w:val="24"/>
          <w:szCs w:val="24"/>
          <w:lang w:eastAsia="tr-TR"/>
        </w:rPr>
        <w:t>14/6/2003</w:t>
      </w:r>
      <w:proofErr w:type="gramEnd"/>
      <w:r w:rsidRPr="007D167B">
        <w:rPr>
          <w:rFonts w:ascii="Times New Roman" w:eastAsia="Times New Roman" w:hAnsi="Times New Roman" w:cs="Times New Roman"/>
          <w:sz w:val="24"/>
          <w:szCs w:val="24"/>
          <w:lang w:eastAsia="tr-TR"/>
        </w:rPr>
        <w:t> tarihli ve 25138 sayılı Resmî </w:t>
      </w:r>
      <w:proofErr w:type="spellStart"/>
      <w:r w:rsidRPr="007D167B">
        <w:rPr>
          <w:rFonts w:ascii="Times New Roman" w:eastAsia="Times New Roman" w:hAnsi="Times New Roman" w:cs="Times New Roman"/>
          <w:sz w:val="24"/>
          <w:szCs w:val="24"/>
          <w:lang w:eastAsia="tr-TR"/>
        </w:rPr>
        <w:t>Gazete’de</w:t>
      </w:r>
      <w:proofErr w:type="spellEnd"/>
      <w:r w:rsidRPr="007D167B">
        <w:rPr>
          <w:rFonts w:ascii="Times New Roman" w:eastAsia="Times New Roman" w:hAnsi="Times New Roman" w:cs="Times New Roman"/>
          <w:sz w:val="24"/>
          <w:szCs w:val="24"/>
          <w:lang w:eastAsia="tr-TR"/>
        </w:rPr>
        <w:t xml:space="preserve"> yayımlanan Tanıtma ve Kullanma Kılavuzu Uygulama Esaslarına Dair Yönetmelik yürürlükten kaldırılmıştır.</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Yürürlük</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10 –</w:t>
      </w:r>
      <w:r w:rsidRPr="007D167B">
        <w:rPr>
          <w:rFonts w:ascii="Times New Roman" w:eastAsia="Times New Roman" w:hAnsi="Times New Roman" w:cs="Times New Roman"/>
          <w:sz w:val="24"/>
          <w:szCs w:val="24"/>
          <w:lang w:eastAsia="tr-TR"/>
        </w:rPr>
        <w:t> (1) Bu Yönetmeliğin 5 inci maddesinin beşinci fıkrası </w:t>
      </w:r>
      <w:proofErr w:type="gramStart"/>
      <w:r w:rsidRPr="007D167B">
        <w:rPr>
          <w:rFonts w:ascii="Times New Roman" w:eastAsia="Times New Roman" w:hAnsi="Times New Roman" w:cs="Times New Roman"/>
          <w:sz w:val="24"/>
          <w:szCs w:val="24"/>
          <w:lang w:eastAsia="tr-TR"/>
        </w:rPr>
        <w:t>1/1/2015</w:t>
      </w:r>
      <w:proofErr w:type="gramEnd"/>
      <w:r w:rsidRPr="007D167B">
        <w:rPr>
          <w:rFonts w:ascii="Times New Roman" w:eastAsia="Times New Roman" w:hAnsi="Times New Roman" w:cs="Times New Roman"/>
          <w:sz w:val="24"/>
          <w:szCs w:val="24"/>
          <w:lang w:eastAsia="tr-TR"/>
        </w:rPr>
        <w:t xml:space="preserve"> tarihinde, diğer hükümleri </w:t>
      </w:r>
      <w:proofErr w:type="spellStart"/>
      <w:r w:rsidRPr="007D167B">
        <w:rPr>
          <w:rFonts w:ascii="Times New Roman" w:eastAsia="Times New Roman" w:hAnsi="Times New Roman" w:cs="Times New Roman"/>
          <w:sz w:val="24"/>
          <w:szCs w:val="24"/>
          <w:lang w:eastAsia="tr-TR"/>
        </w:rPr>
        <w:t>yayımıtarihinde</w:t>
      </w:r>
      <w:proofErr w:type="spellEnd"/>
      <w:r w:rsidRPr="007D167B">
        <w:rPr>
          <w:rFonts w:ascii="Times New Roman" w:eastAsia="Times New Roman" w:hAnsi="Times New Roman" w:cs="Times New Roman"/>
          <w:sz w:val="24"/>
          <w:szCs w:val="24"/>
          <w:lang w:eastAsia="tr-TR"/>
        </w:rPr>
        <w:t xml:space="preserve"> yürürlüğe girer.</w:t>
      </w:r>
    </w:p>
    <w:p w:rsidR="006D5010" w:rsidRDefault="006D5010" w:rsidP="007D167B">
      <w:pPr>
        <w:spacing w:after="0" w:line="360" w:lineRule="auto"/>
        <w:ind w:firstLine="566"/>
        <w:jc w:val="both"/>
        <w:rPr>
          <w:rFonts w:ascii="Times New Roman" w:eastAsia="Times New Roman" w:hAnsi="Times New Roman" w:cs="Times New Roman"/>
          <w:b/>
          <w:bCs/>
          <w:sz w:val="24"/>
          <w:szCs w:val="24"/>
          <w:lang w:eastAsia="tr-TR"/>
        </w:rPr>
      </w:pP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bookmarkStart w:id="0" w:name="_GoBack"/>
      <w:bookmarkEnd w:id="0"/>
      <w:r w:rsidRPr="007D167B">
        <w:rPr>
          <w:rFonts w:ascii="Times New Roman" w:eastAsia="Times New Roman" w:hAnsi="Times New Roman" w:cs="Times New Roman"/>
          <w:b/>
          <w:bCs/>
          <w:sz w:val="24"/>
          <w:szCs w:val="24"/>
          <w:lang w:eastAsia="tr-TR"/>
        </w:rPr>
        <w:lastRenderedPageBreak/>
        <w:t>Yürütme</w:t>
      </w:r>
    </w:p>
    <w:p w:rsidR="007D167B" w:rsidRPr="007D167B" w:rsidRDefault="007D167B" w:rsidP="007D167B">
      <w:pPr>
        <w:spacing w:after="0" w:line="360" w:lineRule="auto"/>
        <w:ind w:firstLine="566"/>
        <w:jc w:val="both"/>
        <w:rPr>
          <w:rFonts w:ascii="Times New Roman" w:eastAsia="Times New Roman" w:hAnsi="Times New Roman" w:cs="Times New Roman"/>
          <w:sz w:val="24"/>
          <w:szCs w:val="24"/>
          <w:lang w:eastAsia="tr-TR"/>
        </w:rPr>
      </w:pPr>
      <w:r w:rsidRPr="007D167B">
        <w:rPr>
          <w:rFonts w:ascii="Times New Roman" w:eastAsia="Times New Roman" w:hAnsi="Times New Roman" w:cs="Times New Roman"/>
          <w:b/>
          <w:bCs/>
          <w:sz w:val="24"/>
          <w:szCs w:val="24"/>
          <w:lang w:eastAsia="tr-TR"/>
        </w:rPr>
        <w:t>MADDE 11 –</w:t>
      </w:r>
      <w:r w:rsidRPr="007D167B">
        <w:rPr>
          <w:rFonts w:ascii="Times New Roman" w:eastAsia="Times New Roman" w:hAnsi="Times New Roman" w:cs="Times New Roman"/>
          <w:sz w:val="24"/>
          <w:szCs w:val="24"/>
          <w:lang w:eastAsia="tr-TR"/>
        </w:rPr>
        <w:t> (1) Bu Yönetmelik hükümlerini Gümrük ve Ticaret Bakanı yürütür.</w:t>
      </w:r>
    </w:p>
    <w:p w:rsidR="00CE0DFF" w:rsidRPr="007D167B" w:rsidRDefault="00CE0DFF" w:rsidP="007D167B">
      <w:pPr>
        <w:spacing w:after="0" w:line="360" w:lineRule="auto"/>
        <w:jc w:val="both"/>
        <w:rPr>
          <w:rFonts w:ascii="Times New Roman" w:hAnsi="Times New Roman" w:cs="Times New Roman"/>
          <w:sz w:val="24"/>
          <w:szCs w:val="24"/>
        </w:rPr>
      </w:pPr>
    </w:p>
    <w:sectPr w:rsidR="00CE0DFF" w:rsidRPr="007D1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7B"/>
    <w:rsid w:val="006D5010"/>
    <w:rsid w:val="007D167B"/>
    <w:rsid w:val="00CE0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2014-07-16T14:26:00Z</dcterms:created>
  <dcterms:modified xsi:type="dcterms:W3CDTF">2014-07-16T14:27:00Z</dcterms:modified>
</cp:coreProperties>
</file>